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sz w:val="44"/>
          <w:szCs w:val="44"/>
          <w:u w:val="single"/>
        </w:rPr>
      </w:pPr>
    </w:p>
    <w:p>
      <w:pPr>
        <w:spacing w:line="540" w:lineRule="exact"/>
        <w:jc w:val="center"/>
        <w:rPr>
          <w:rFonts w:hint="eastAsia" w:ascii="宋体" w:hAnsi="宋体"/>
          <w:b/>
          <w:sz w:val="96"/>
          <w:szCs w:val="96"/>
          <w:lang w:eastAsia="zh-CN"/>
        </w:rPr>
      </w:pPr>
    </w:p>
    <w:p>
      <w:pPr>
        <w:spacing w:line="540" w:lineRule="exact"/>
        <w:jc w:val="center"/>
        <w:rPr>
          <w:rFonts w:hint="eastAsia" w:ascii="宋体" w:hAnsi="宋体"/>
          <w:b/>
          <w:sz w:val="96"/>
          <w:szCs w:val="96"/>
          <w:lang w:eastAsia="zh-CN"/>
        </w:rPr>
      </w:pPr>
    </w:p>
    <w:p>
      <w:pPr>
        <w:spacing w:line="540" w:lineRule="exact"/>
        <w:jc w:val="center"/>
        <w:rPr>
          <w:rFonts w:hint="eastAsia" w:ascii="宋体" w:hAnsi="宋体"/>
          <w:b/>
          <w:sz w:val="96"/>
          <w:szCs w:val="96"/>
          <w:lang w:eastAsia="zh-CN"/>
        </w:rPr>
      </w:pPr>
    </w:p>
    <w:p>
      <w:pPr>
        <w:spacing w:line="360" w:lineRule="auto"/>
        <w:jc w:val="both"/>
        <w:rPr>
          <w:rFonts w:hint="eastAsia" w:ascii="宋体" w:hAnsi="宋体"/>
          <w:b w:val="0"/>
          <w:bCs/>
          <w:sz w:val="96"/>
          <w:szCs w:val="96"/>
          <w:lang w:eastAsia="zh-CN"/>
        </w:rPr>
      </w:pPr>
    </w:p>
    <w:p>
      <w:pPr>
        <w:spacing w:line="360" w:lineRule="auto"/>
        <w:jc w:val="center"/>
        <w:rPr>
          <w:rFonts w:hint="eastAsia" w:ascii="宋体" w:hAnsi="宋体" w:eastAsia="宋体"/>
          <w:b/>
          <w:sz w:val="96"/>
          <w:szCs w:val="96"/>
          <w:lang w:eastAsia="zh-CN"/>
        </w:rPr>
      </w:pPr>
      <w:r>
        <w:rPr>
          <w:rFonts w:hint="eastAsia" w:ascii="宋体" w:hAnsi="宋体"/>
          <w:b/>
          <w:sz w:val="96"/>
          <w:szCs w:val="96"/>
          <w:lang w:eastAsia="zh-CN"/>
        </w:rPr>
        <w:t>抚顺市传染病医院</w:t>
      </w: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2021年度部门决算</w:t>
      </w:r>
    </w:p>
    <w:p>
      <w:pPr>
        <w:spacing w:line="360" w:lineRule="auto"/>
        <w:jc w:val="both"/>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both"/>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p>
    <w:p>
      <w:pPr>
        <w:spacing w:line="540" w:lineRule="exact"/>
        <w:jc w:val="center"/>
        <w:rPr>
          <w:rFonts w:hint="eastAsia"/>
          <w:b/>
          <w:sz w:val="44"/>
          <w:szCs w:val="44"/>
        </w:rPr>
      </w:pPr>
      <w:r>
        <w:rPr>
          <w:rFonts w:hint="eastAsia"/>
          <w:b/>
          <w:sz w:val="44"/>
          <w:szCs w:val="44"/>
        </w:rPr>
        <w:t>目    录</w:t>
      </w:r>
    </w:p>
    <w:p>
      <w:pPr>
        <w:spacing w:line="540" w:lineRule="exact"/>
        <w:rPr>
          <w:rFonts w:hint="eastAsia"/>
          <w:b/>
          <w:sz w:val="44"/>
          <w:szCs w:val="44"/>
          <w:u w:val="single"/>
        </w:rPr>
      </w:pPr>
    </w:p>
    <w:p>
      <w:pPr>
        <w:spacing w:line="540" w:lineRule="exac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单位</w:t>
      </w:r>
      <w:r>
        <w:rPr>
          <w:rFonts w:hint="eastAsia" w:ascii="黑体" w:hAnsi="黑体" w:eastAsia="黑体"/>
          <w:sz w:val="32"/>
          <w:szCs w:val="32"/>
        </w:rPr>
        <w:t>概况</w:t>
      </w:r>
    </w:p>
    <w:p>
      <w:pPr>
        <w:spacing w:line="540" w:lineRule="exact"/>
        <w:rPr>
          <w:rFonts w:hint="eastAsia" w:ascii="黑体" w:hAnsi="黑体" w:eastAsia="黑体"/>
          <w:sz w:val="32"/>
          <w:szCs w:val="32"/>
        </w:rPr>
      </w:pPr>
      <w:r>
        <w:rPr>
          <w:rFonts w:hint="eastAsia" w:ascii="黑体" w:hAnsi="黑体" w:eastAsia="黑体"/>
          <w:sz w:val="32"/>
          <w:szCs w:val="32"/>
        </w:rPr>
        <w:t>第二部分    2021年度部门决算情况说明</w:t>
      </w:r>
    </w:p>
    <w:p>
      <w:pPr>
        <w:spacing w:line="540" w:lineRule="exact"/>
        <w:rPr>
          <w:rFonts w:hint="eastAsia" w:ascii="仿宋_GB2312" w:eastAsia="仿宋_GB2312"/>
          <w:sz w:val="32"/>
          <w:szCs w:val="32"/>
        </w:rPr>
      </w:pPr>
      <w:r>
        <w:rPr>
          <w:rFonts w:hint="eastAsia" w:ascii="仿宋_GB2312" w:eastAsia="仿宋_GB2312"/>
          <w:sz w:val="32"/>
          <w:szCs w:val="32"/>
        </w:rPr>
        <w:t>一、收入支出决算总体情况说明</w:t>
      </w:r>
    </w:p>
    <w:p>
      <w:pPr>
        <w:spacing w:line="540" w:lineRule="exact"/>
        <w:rPr>
          <w:rFonts w:hint="eastAsia" w:ascii="仿宋_GB2312" w:eastAsia="仿宋_GB2312"/>
          <w:sz w:val="32"/>
          <w:szCs w:val="32"/>
        </w:rPr>
      </w:pPr>
      <w:r>
        <w:rPr>
          <w:rFonts w:hint="eastAsia" w:ascii="仿宋_GB2312" w:eastAsia="仿宋_GB2312"/>
          <w:sz w:val="32"/>
          <w:szCs w:val="32"/>
        </w:rPr>
        <w:t>二、财政拨款收入支出决算情况说明</w:t>
      </w:r>
    </w:p>
    <w:p>
      <w:pPr>
        <w:spacing w:line="540" w:lineRule="exact"/>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、一般公共预算财政拨款基本支出决算情况说明</w:t>
      </w:r>
    </w:p>
    <w:p>
      <w:pPr>
        <w:spacing w:line="540" w:lineRule="exact"/>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、其他重要事项的情况说明</w:t>
      </w:r>
    </w:p>
    <w:p>
      <w:pPr>
        <w:spacing w:line="540" w:lineRule="exact"/>
        <w:rPr>
          <w:rFonts w:hint="eastAsia" w:ascii="黑体" w:hAnsi="黑体" w:eastAsia="黑体"/>
          <w:sz w:val="32"/>
          <w:szCs w:val="32"/>
        </w:rPr>
      </w:pPr>
      <w:r>
        <w:rPr>
          <w:rFonts w:hint="eastAsia" w:ascii="黑体" w:hAnsi="黑体" w:eastAsia="黑体"/>
          <w:sz w:val="32"/>
          <w:szCs w:val="32"/>
        </w:rPr>
        <w:t>第三部分    名词解释</w:t>
      </w:r>
    </w:p>
    <w:p>
      <w:pPr>
        <w:spacing w:line="540" w:lineRule="exact"/>
        <w:rPr>
          <w:rFonts w:hint="eastAsia" w:ascii="黑体" w:hAnsi="黑体" w:eastAsia="黑体"/>
          <w:sz w:val="32"/>
          <w:szCs w:val="32"/>
        </w:rPr>
      </w:pPr>
      <w:r>
        <w:rPr>
          <w:rFonts w:hint="eastAsia" w:ascii="黑体" w:hAnsi="黑体" w:eastAsia="黑体"/>
          <w:sz w:val="32"/>
          <w:szCs w:val="32"/>
        </w:rPr>
        <w:t>第四部分    2021年度部门决算报表</w:t>
      </w:r>
    </w:p>
    <w:p>
      <w:pPr>
        <w:spacing w:line="540" w:lineRule="exact"/>
        <w:rPr>
          <w:rFonts w:hint="eastAsia" w:ascii="仿宋_GB2312" w:hAnsi="黑体"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收入支出决算总表</w:t>
      </w:r>
    </w:p>
    <w:p>
      <w:pPr>
        <w:spacing w:line="540" w:lineRule="exact"/>
        <w:rPr>
          <w:rFonts w:hint="eastAsia" w:ascii="仿宋_GB2312" w:eastAsia="仿宋_GB2312"/>
          <w:sz w:val="32"/>
          <w:szCs w:val="32"/>
        </w:rPr>
      </w:pPr>
      <w:r>
        <w:rPr>
          <w:rFonts w:hint="eastAsia" w:ascii="仿宋_GB2312" w:eastAsia="仿宋_GB2312"/>
          <w:sz w:val="32"/>
          <w:szCs w:val="32"/>
        </w:rPr>
        <w:t>二、收入决算表</w:t>
      </w:r>
    </w:p>
    <w:p>
      <w:pPr>
        <w:spacing w:line="540" w:lineRule="exact"/>
        <w:rPr>
          <w:rFonts w:hint="eastAsia" w:ascii="仿宋_GB2312" w:eastAsia="仿宋_GB2312"/>
          <w:sz w:val="32"/>
          <w:szCs w:val="32"/>
        </w:rPr>
      </w:pPr>
      <w:r>
        <w:rPr>
          <w:rFonts w:hint="eastAsia" w:ascii="仿宋_GB2312" w:eastAsia="仿宋_GB2312"/>
          <w:sz w:val="32"/>
          <w:szCs w:val="32"/>
        </w:rPr>
        <w:t>三、支出决算表</w:t>
      </w:r>
    </w:p>
    <w:p>
      <w:pPr>
        <w:spacing w:line="540" w:lineRule="exact"/>
        <w:rPr>
          <w:rFonts w:hint="eastAsia" w:ascii="仿宋_GB2312" w:hAnsi="黑体"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财政拨款收入支出决算表</w:t>
      </w:r>
    </w:p>
    <w:p>
      <w:pPr>
        <w:spacing w:line="540" w:lineRule="exact"/>
        <w:rPr>
          <w:rFonts w:hint="eastAsia" w:ascii="仿宋_GB2312" w:eastAsia="仿宋_GB2312"/>
          <w:sz w:val="32"/>
          <w:szCs w:val="32"/>
        </w:rPr>
      </w:pPr>
      <w:r>
        <w:rPr>
          <w:rFonts w:hint="eastAsia" w:ascii="仿宋_GB2312" w:eastAsia="仿宋_GB2312"/>
          <w:sz w:val="32"/>
          <w:szCs w:val="32"/>
        </w:rPr>
        <w:t>五、一般公共预算</w:t>
      </w:r>
      <w:r>
        <w:rPr>
          <w:rFonts w:ascii="仿宋_GB2312" w:eastAsia="仿宋_GB2312"/>
          <w:sz w:val="32"/>
          <w:szCs w:val="32"/>
        </w:rPr>
        <w:t>财政拨款支出决算表</w:t>
      </w:r>
    </w:p>
    <w:p>
      <w:pPr>
        <w:spacing w:line="540" w:lineRule="exact"/>
        <w:rPr>
          <w:rFonts w:hint="eastAsia" w:ascii="仿宋_GB2312" w:eastAsia="仿宋_GB2312"/>
          <w:sz w:val="32"/>
          <w:szCs w:val="32"/>
        </w:rPr>
      </w:pPr>
      <w:r>
        <w:rPr>
          <w:rFonts w:hint="eastAsia" w:ascii="仿宋_GB2312" w:eastAsia="仿宋_GB2312"/>
          <w:sz w:val="32"/>
          <w:szCs w:val="32"/>
        </w:rPr>
        <w:t>六、一般公共预算</w:t>
      </w:r>
      <w:r>
        <w:rPr>
          <w:rFonts w:ascii="仿宋_GB2312" w:eastAsia="仿宋_GB2312"/>
          <w:sz w:val="32"/>
          <w:szCs w:val="32"/>
        </w:rPr>
        <w:t>财政拨款</w:t>
      </w:r>
      <w:r>
        <w:rPr>
          <w:rFonts w:hint="eastAsia" w:ascii="仿宋_GB2312" w:eastAsia="仿宋_GB2312"/>
          <w:sz w:val="32"/>
          <w:szCs w:val="32"/>
        </w:rPr>
        <w:t>基本支出</w:t>
      </w:r>
      <w:r>
        <w:rPr>
          <w:rFonts w:ascii="仿宋_GB2312" w:eastAsia="仿宋_GB2312"/>
          <w:sz w:val="32"/>
          <w:szCs w:val="32"/>
        </w:rPr>
        <w:t>决算表</w:t>
      </w:r>
    </w:p>
    <w:p>
      <w:pPr>
        <w:spacing w:line="540" w:lineRule="exact"/>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w:t>
      </w:r>
      <w:r>
        <w:rPr>
          <w:rFonts w:ascii="仿宋_GB2312" w:eastAsia="仿宋_GB2312"/>
          <w:sz w:val="32"/>
          <w:szCs w:val="32"/>
        </w:rPr>
        <w:t>政府性基金预算财政拨款支出决算表</w:t>
      </w:r>
    </w:p>
    <w:p>
      <w:pPr>
        <w:spacing w:line="540" w:lineRule="exact"/>
        <w:jc w:val="center"/>
        <w:rPr>
          <w:rFonts w:hint="eastAsia" w:ascii="黑体" w:hAnsi="黑体" w:eastAsia="黑体"/>
          <w:b/>
          <w:sz w:val="44"/>
          <w:szCs w:val="44"/>
          <w:u w:val="single"/>
        </w:rPr>
      </w:pPr>
    </w:p>
    <w:p>
      <w:pPr>
        <w:spacing w:line="540" w:lineRule="exact"/>
        <w:jc w:val="center"/>
        <w:rPr>
          <w:rFonts w:hint="eastAsia" w:ascii="宋体" w:hAnsi="宋体"/>
          <w:b/>
          <w:sz w:val="36"/>
          <w:szCs w:val="36"/>
        </w:rPr>
      </w:pPr>
      <w:r>
        <w:rPr>
          <w:rFonts w:hint="eastAsia"/>
          <w:b/>
          <w:sz w:val="44"/>
          <w:szCs w:val="44"/>
          <w:u w:val="single"/>
        </w:rPr>
        <w:br w:type="page"/>
      </w:r>
      <w:r>
        <w:rPr>
          <w:rFonts w:hint="eastAsia" w:ascii="宋体" w:hAnsi="宋体"/>
          <w:b/>
          <w:sz w:val="36"/>
          <w:szCs w:val="36"/>
        </w:rPr>
        <w:t xml:space="preserve">第一部分 </w:t>
      </w:r>
      <w:r>
        <w:rPr>
          <w:rFonts w:hint="eastAsia" w:ascii="宋体" w:hAnsi="宋体"/>
          <w:b/>
          <w:sz w:val="36"/>
          <w:szCs w:val="36"/>
          <w:lang w:eastAsia="zh-CN"/>
        </w:rPr>
        <w:t>单位</w:t>
      </w:r>
      <w:r>
        <w:rPr>
          <w:rFonts w:hint="eastAsia" w:ascii="宋体" w:hAnsi="宋体"/>
          <w:b/>
          <w:sz w:val="36"/>
          <w:szCs w:val="36"/>
        </w:rPr>
        <w:t>概况</w:t>
      </w:r>
    </w:p>
    <w:p>
      <w:pPr>
        <w:spacing w:line="540" w:lineRule="exact"/>
        <w:ind w:firstLine="560" w:firstLineChars="200"/>
        <w:jc w:val="left"/>
        <w:rPr>
          <w:rFonts w:hint="eastAsia" w:ascii="仿宋" w:hAnsi="仿宋" w:eastAsia="仿宋" w:cs="仿宋"/>
          <w:sz w:val="28"/>
          <w:szCs w:val="28"/>
        </w:rPr>
      </w:pP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辽宁省抚顺市传染病医院始建于1953年，位于抚顺市顺城区沈抚公路北线25号。医院经过近60多年艰苦卓绝的努力，目前已发展成为抚顺唯一一家以传染、感染及急慢性相关性疾病群体为服务对象，集医疗、教学、科研、公共卫生应急、健康管理服务为一体的三级专科医院。医院占地面积3.8万平方米，建筑面积约2万平方米。现有职工数433人，其中：在职职工182人，占职工总数的42.03%，专业技术人员161人，其中高级职称40人，中级职称58人，初级63人；退休职工184人，占职工总数的42.49%；离休2人，占职工总数的0.46%、合同制人员65人、占职工总数的15.02%。医院是首批抚顺市医疗保险定点医院、新农合定点医院、城镇居民定点医院。</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医院共设32个科室，5个疗区，在市内分设2个门诊，2个分院，艾滋病关爱中心。编制床位500张，实际开放床位240张，年门诊量8.83万人次。</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医院拥有数字化彩色多普勒诊断系统、超声弹性成像检测仪，全自动化学发光免疫分析仪、DR数字化X光机、胃镜检查仪、血液透析机组、PCR检测仪、西门子64排大型螺旋CT诊断仪、呼吸测试仪等一大批先进医疗设备。</w:t>
      </w:r>
      <w:r>
        <w:rPr>
          <w:rFonts w:hint="eastAsia" w:ascii="仿宋" w:hAnsi="仿宋" w:eastAsia="仿宋" w:cs="仿宋"/>
          <w:sz w:val="32"/>
          <w:szCs w:val="32"/>
          <w:lang w:eastAsia="zh-CN"/>
        </w:rPr>
        <w:t>现为抚顺市新冠疫情医疗定点医院。</w:t>
      </w:r>
    </w:p>
    <w:p>
      <w:pPr>
        <w:spacing w:line="540" w:lineRule="exact"/>
        <w:ind w:firstLine="720" w:firstLineChars="200"/>
        <w:jc w:val="center"/>
        <w:rPr>
          <w:rFonts w:hint="eastAsia" w:ascii="宋体" w:hAnsi="宋体"/>
          <w:b/>
          <w:sz w:val="36"/>
          <w:szCs w:val="36"/>
        </w:rPr>
      </w:pPr>
      <w:r>
        <w:rPr>
          <w:rFonts w:ascii="仿宋_GB2312" w:eastAsia="仿宋_GB2312"/>
          <w:sz w:val="36"/>
          <w:szCs w:val="36"/>
        </w:rPr>
        <w:br w:type="page"/>
      </w:r>
      <w:r>
        <w:rPr>
          <w:rFonts w:hint="eastAsia" w:ascii="宋体" w:hAnsi="宋体"/>
          <w:b/>
          <w:sz w:val="36"/>
          <w:szCs w:val="36"/>
        </w:rPr>
        <w:t>第二部分 2021年度部门决算情况说明</w:t>
      </w:r>
    </w:p>
    <w:p>
      <w:pPr>
        <w:spacing w:line="540" w:lineRule="exact"/>
        <w:rPr>
          <w:rFonts w:hint="eastAsia" w:ascii="宋体" w:hAnsi="宋体"/>
          <w:b/>
          <w:sz w:val="36"/>
          <w:szCs w:val="36"/>
        </w:rPr>
      </w:pPr>
    </w:p>
    <w:p>
      <w:pPr>
        <w:numPr>
          <w:ilvl w:val="0"/>
          <w:numId w:val="1"/>
        </w:numPr>
        <w:spacing w:line="360" w:lineRule="auto"/>
        <w:ind w:firstLine="627" w:firstLineChars="196"/>
        <w:rPr>
          <w:rFonts w:hint="eastAsia" w:ascii="黑体" w:hAnsi="黑体" w:eastAsia="黑体"/>
          <w:sz w:val="32"/>
          <w:szCs w:val="32"/>
        </w:rPr>
      </w:pPr>
      <w:r>
        <w:rPr>
          <w:rFonts w:hint="eastAsia" w:ascii="黑体" w:hAnsi="黑体" w:eastAsia="黑体"/>
          <w:sz w:val="32"/>
          <w:szCs w:val="32"/>
        </w:rPr>
        <w:t>收入支出决算总体情况说明</w:t>
      </w:r>
    </w:p>
    <w:p>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按照综合预算的原则，</w:t>
      </w:r>
      <w:r>
        <w:rPr>
          <w:rFonts w:hint="eastAsia" w:ascii="仿宋" w:hAnsi="仿宋" w:eastAsia="仿宋" w:cs="仿宋"/>
          <w:b w:val="0"/>
          <w:bCs w:val="0"/>
          <w:sz w:val="32"/>
          <w:szCs w:val="32"/>
          <w:lang w:val="en-US" w:eastAsia="zh-CN"/>
        </w:rPr>
        <w:t>2021年医院所有收入和支出均纳入部门预算管理。其中：</w:t>
      </w:r>
    </w:p>
    <w:p>
      <w:pPr>
        <w:spacing w:line="360" w:lineRule="auto"/>
        <w:ind w:firstLine="660"/>
        <w:rPr>
          <w:rFonts w:hint="eastAsia" w:ascii="楷体_GB2312" w:hAnsi="宋体" w:eastAsia="楷体_GB2312"/>
          <w:b/>
          <w:sz w:val="32"/>
          <w:szCs w:val="32"/>
        </w:rPr>
      </w:pPr>
      <w:r>
        <w:rPr>
          <w:rFonts w:hint="eastAsia" w:ascii="楷体_GB2312" w:hAnsi="宋体" w:eastAsia="楷体_GB2312"/>
          <w:b/>
          <w:sz w:val="32"/>
          <w:szCs w:val="32"/>
        </w:rPr>
        <w:t>（一）收入总计</w:t>
      </w:r>
      <w:r>
        <w:rPr>
          <w:rFonts w:hint="eastAsia" w:ascii="楷体_GB2312" w:hAnsi="宋体" w:eastAsia="楷体_GB2312"/>
          <w:b/>
          <w:sz w:val="32"/>
          <w:szCs w:val="32"/>
          <w:lang w:val="en-US" w:eastAsia="zh-CN"/>
        </w:rPr>
        <w:t>28942.31</w:t>
      </w:r>
      <w:r>
        <w:rPr>
          <w:rFonts w:hint="eastAsia" w:ascii="楷体_GB2312" w:hAnsi="宋体" w:eastAsia="楷体_GB2312"/>
          <w:b/>
          <w:sz w:val="32"/>
          <w:szCs w:val="32"/>
        </w:rPr>
        <w:t>万元，包括：</w:t>
      </w:r>
    </w:p>
    <w:p>
      <w:pPr>
        <w:spacing w:line="360" w:lineRule="auto"/>
        <w:ind w:firstLine="660"/>
        <w:rPr>
          <w:rFonts w:hint="eastAsia" w:ascii="仿宋_GB2312" w:hAnsi="宋体" w:eastAsia="仿宋_GB2312"/>
          <w:sz w:val="32"/>
          <w:szCs w:val="32"/>
        </w:rPr>
      </w:pPr>
      <w:r>
        <w:rPr>
          <w:rFonts w:hint="eastAsia" w:ascii="仿宋_GB2312" w:hAnsi="宋体" w:eastAsia="仿宋_GB2312"/>
          <w:sz w:val="32"/>
          <w:szCs w:val="32"/>
        </w:rPr>
        <w:t>1.财政拨款收入</w:t>
      </w:r>
      <w:r>
        <w:rPr>
          <w:rFonts w:hint="eastAsia" w:ascii="仿宋_GB2312" w:hAnsi="宋体" w:eastAsia="仿宋_GB2312"/>
          <w:sz w:val="32"/>
          <w:szCs w:val="32"/>
          <w:lang w:val="en-US" w:eastAsia="zh-CN"/>
        </w:rPr>
        <w:t>909.26</w:t>
      </w:r>
      <w:r>
        <w:rPr>
          <w:rFonts w:hint="eastAsia" w:ascii="仿宋_GB2312" w:hAnsi="宋体" w:eastAsia="仿宋_GB2312"/>
          <w:sz w:val="32"/>
          <w:szCs w:val="32"/>
        </w:rPr>
        <w:t>万元，占</w:t>
      </w:r>
      <w:r>
        <w:rPr>
          <w:rFonts w:ascii="仿宋_GB2312" w:hAnsi="宋体" w:eastAsia="仿宋_GB2312"/>
          <w:sz w:val="32"/>
          <w:szCs w:val="32"/>
        </w:rPr>
        <w:t>收入总计的</w:t>
      </w:r>
      <w:r>
        <w:rPr>
          <w:rFonts w:hint="eastAsia" w:ascii="仿宋_GB2312" w:hAnsi="宋体" w:eastAsia="仿宋_GB2312"/>
          <w:sz w:val="32"/>
          <w:szCs w:val="32"/>
          <w:lang w:val="en-US" w:eastAsia="zh-CN"/>
        </w:rPr>
        <w:t>3.14</w:t>
      </w:r>
      <w:r>
        <w:rPr>
          <w:rFonts w:ascii="仿宋_GB2312" w:hAnsi="宋体" w:eastAsia="仿宋_GB2312"/>
          <w:sz w:val="32"/>
          <w:szCs w:val="32"/>
        </w:rPr>
        <w:t>%</w:t>
      </w:r>
      <w:r>
        <w:rPr>
          <w:rFonts w:hint="eastAsia" w:ascii="仿宋_GB2312" w:hAnsi="宋体" w:eastAsia="仿宋_GB2312"/>
          <w:sz w:val="32"/>
          <w:szCs w:val="32"/>
        </w:rPr>
        <w:t>。其中：一般公共预算财政拨款收入</w:t>
      </w:r>
      <w:r>
        <w:rPr>
          <w:rFonts w:hint="eastAsia" w:ascii="仿宋_GB2312" w:hAnsi="宋体" w:eastAsia="仿宋_GB2312"/>
          <w:sz w:val="32"/>
          <w:szCs w:val="32"/>
          <w:lang w:val="en-US" w:eastAsia="zh-CN"/>
        </w:rPr>
        <w:t>909.26</w:t>
      </w:r>
      <w:r>
        <w:rPr>
          <w:rFonts w:hint="eastAsia" w:ascii="仿宋_GB2312" w:hAnsi="宋体" w:eastAsia="仿宋_GB2312"/>
          <w:sz w:val="32"/>
          <w:szCs w:val="32"/>
        </w:rPr>
        <w:t>万元，</w:t>
      </w:r>
    </w:p>
    <w:p>
      <w:pPr>
        <w:spacing w:line="360" w:lineRule="auto"/>
        <w:ind w:firstLine="66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.事业收入</w:t>
      </w:r>
      <w:r>
        <w:rPr>
          <w:rFonts w:hint="eastAsia" w:ascii="仿宋_GB2312" w:hAnsi="宋体" w:eastAsia="仿宋_GB2312"/>
          <w:sz w:val="32"/>
          <w:szCs w:val="32"/>
          <w:lang w:val="en-US" w:eastAsia="zh-CN"/>
        </w:rPr>
        <w:t>10367.45</w:t>
      </w:r>
      <w:r>
        <w:rPr>
          <w:rFonts w:hint="eastAsia" w:ascii="仿宋_GB2312" w:hAnsi="宋体" w:eastAsia="仿宋_GB2312"/>
          <w:sz w:val="32"/>
          <w:szCs w:val="32"/>
        </w:rPr>
        <w:t>万元，占收入总计的</w:t>
      </w:r>
      <w:r>
        <w:rPr>
          <w:rFonts w:hint="eastAsia" w:ascii="仿宋_GB2312" w:hAnsi="宋体" w:eastAsia="仿宋_GB2312"/>
          <w:sz w:val="32"/>
          <w:szCs w:val="32"/>
          <w:lang w:val="en-US" w:eastAsia="zh-CN"/>
        </w:rPr>
        <w:t>35.82</w:t>
      </w:r>
      <w:r>
        <w:rPr>
          <w:rFonts w:hint="eastAsia" w:ascii="仿宋_GB2312" w:hAnsi="宋体" w:eastAsia="仿宋_GB2312"/>
          <w:sz w:val="32"/>
          <w:szCs w:val="32"/>
        </w:rPr>
        <w:t>%。主要是</w:t>
      </w:r>
      <w:r>
        <w:rPr>
          <w:rFonts w:ascii="仿宋_GB2312" w:hAnsi="宋体" w:eastAsia="仿宋_GB2312"/>
          <w:sz w:val="32"/>
          <w:szCs w:val="32"/>
        </w:rPr>
        <w:t>XX</w:t>
      </w:r>
      <w:r>
        <w:rPr>
          <w:rFonts w:hint="eastAsia" w:ascii="仿宋_GB2312" w:hAnsi="宋体" w:eastAsia="仿宋_GB2312"/>
          <w:sz w:val="32"/>
          <w:szCs w:val="32"/>
        </w:rPr>
        <w:t>等收入。</w:t>
      </w:r>
    </w:p>
    <w:p>
      <w:pPr>
        <w:spacing w:line="360" w:lineRule="auto"/>
        <w:ind w:firstLine="66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.其他收入</w:t>
      </w:r>
      <w:r>
        <w:rPr>
          <w:rFonts w:hint="eastAsia" w:ascii="仿宋_GB2312" w:hAnsi="宋体" w:eastAsia="仿宋_GB2312"/>
          <w:sz w:val="32"/>
          <w:szCs w:val="32"/>
          <w:lang w:val="en-US" w:eastAsia="zh-CN"/>
        </w:rPr>
        <w:t>82.34</w:t>
      </w:r>
      <w:r>
        <w:rPr>
          <w:rFonts w:hint="eastAsia" w:ascii="仿宋_GB2312" w:hAnsi="宋体" w:eastAsia="仿宋_GB2312"/>
          <w:sz w:val="32"/>
          <w:szCs w:val="32"/>
        </w:rPr>
        <w:t>万元，占收入总计的</w:t>
      </w:r>
      <w:r>
        <w:rPr>
          <w:rFonts w:hint="eastAsia" w:ascii="仿宋_GB2312" w:hAnsi="宋体" w:eastAsia="仿宋_GB2312"/>
          <w:sz w:val="32"/>
          <w:szCs w:val="32"/>
          <w:lang w:val="en-US" w:eastAsia="zh-CN"/>
        </w:rPr>
        <w:t>0.28</w:t>
      </w:r>
      <w:r>
        <w:rPr>
          <w:rFonts w:hint="eastAsia" w:ascii="仿宋_GB2312" w:hAnsi="宋体" w:eastAsia="仿宋_GB2312"/>
          <w:sz w:val="32"/>
          <w:szCs w:val="32"/>
        </w:rPr>
        <w:t>%。主</w:t>
      </w:r>
    </w:p>
    <w:p>
      <w:pPr>
        <w:spacing w:line="360" w:lineRule="auto"/>
        <w:ind w:firstLine="66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.上年结转和结余</w:t>
      </w:r>
      <w:r>
        <w:rPr>
          <w:rFonts w:hint="eastAsia" w:ascii="仿宋_GB2312" w:hAnsi="宋体" w:eastAsia="仿宋_GB2312"/>
          <w:sz w:val="32"/>
          <w:szCs w:val="32"/>
          <w:lang w:val="en-US" w:eastAsia="zh-CN"/>
        </w:rPr>
        <w:t>17583.26</w:t>
      </w:r>
      <w:r>
        <w:rPr>
          <w:rFonts w:hint="eastAsia" w:ascii="仿宋_GB2312" w:hAnsi="宋体" w:eastAsia="仿宋_GB2312"/>
          <w:sz w:val="32"/>
          <w:szCs w:val="32"/>
        </w:rPr>
        <w:t>万元，占收入总计的</w:t>
      </w:r>
      <w:r>
        <w:rPr>
          <w:rFonts w:hint="eastAsia" w:ascii="仿宋_GB2312" w:hAnsi="宋体" w:eastAsia="仿宋_GB2312"/>
          <w:sz w:val="32"/>
          <w:szCs w:val="32"/>
          <w:lang w:val="en-US" w:eastAsia="zh-CN"/>
        </w:rPr>
        <w:t>60.75</w:t>
      </w:r>
      <w:r>
        <w:rPr>
          <w:rFonts w:hint="eastAsia" w:ascii="仿宋_GB2312" w:hAnsi="宋体" w:eastAsia="仿宋_GB2312"/>
          <w:sz w:val="32"/>
          <w:szCs w:val="32"/>
        </w:rPr>
        <w:t>%。</w:t>
      </w:r>
    </w:p>
    <w:p>
      <w:pPr>
        <w:spacing w:line="360" w:lineRule="auto"/>
        <w:ind w:firstLine="660"/>
        <w:rPr>
          <w:rFonts w:hint="eastAsia" w:ascii="楷体_GB2312" w:hAnsi="宋体" w:eastAsia="楷体_GB2312"/>
          <w:b/>
          <w:sz w:val="32"/>
          <w:szCs w:val="32"/>
        </w:rPr>
      </w:pPr>
      <w:r>
        <w:rPr>
          <w:rFonts w:hint="eastAsia" w:ascii="楷体_GB2312" w:hAnsi="宋体" w:eastAsia="楷体_GB2312"/>
          <w:b/>
          <w:sz w:val="32"/>
          <w:szCs w:val="32"/>
        </w:rPr>
        <w:t>（二）支出总计</w:t>
      </w:r>
      <w:r>
        <w:rPr>
          <w:rFonts w:hint="eastAsia" w:ascii="楷体_GB2312" w:hAnsi="宋体" w:eastAsia="楷体_GB2312"/>
          <w:b/>
          <w:sz w:val="32"/>
          <w:szCs w:val="32"/>
          <w:lang w:val="en-US" w:eastAsia="zh-CN"/>
        </w:rPr>
        <w:t>28942.31</w:t>
      </w:r>
      <w:r>
        <w:rPr>
          <w:rFonts w:hint="eastAsia" w:ascii="楷体_GB2312" w:hAnsi="宋体" w:eastAsia="楷体_GB2312"/>
          <w:b/>
          <w:sz w:val="32"/>
          <w:szCs w:val="32"/>
        </w:rPr>
        <w:t>万元，包括：</w:t>
      </w:r>
    </w:p>
    <w:p>
      <w:pPr>
        <w:spacing w:line="360" w:lineRule="auto"/>
        <w:ind w:firstLine="660"/>
        <w:rPr>
          <w:rFonts w:hint="default" w:ascii="仿宋_GB2312" w:hAnsi="宋体" w:eastAsia="仿宋_GB2312"/>
          <w:sz w:val="32"/>
          <w:szCs w:val="32"/>
          <w:lang w:val="en-US" w:eastAsia="zh-CN"/>
        </w:rPr>
      </w:pPr>
      <w:r>
        <w:rPr>
          <w:rFonts w:hint="eastAsia" w:ascii="仿宋_GB2312" w:hAnsi="宋体" w:eastAsia="仿宋_GB2312"/>
          <w:sz w:val="32"/>
          <w:szCs w:val="32"/>
        </w:rPr>
        <w:t>1.</w:t>
      </w:r>
      <w:r>
        <w:rPr>
          <w:rFonts w:hint="eastAsia" w:ascii="仿宋_GB2312" w:hAnsi="宋体" w:eastAsia="仿宋_GB2312"/>
          <w:sz w:val="32"/>
          <w:szCs w:val="32"/>
          <w:lang w:eastAsia="zh-CN"/>
        </w:rPr>
        <w:t>基本支出</w:t>
      </w:r>
      <w:r>
        <w:rPr>
          <w:rFonts w:hint="eastAsia" w:ascii="仿宋_GB2312" w:hAnsi="宋体" w:eastAsia="仿宋_GB2312"/>
          <w:sz w:val="32"/>
          <w:szCs w:val="32"/>
          <w:lang w:val="en-US" w:eastAsia="zh-CN"/>
        </w:rPr>
        <w:t>9153.15万元，占支出总计的31.63%。</w:t>
      </w:r>
    </w:p>
    <w:p>
      <w:pPr>
        <w:spacing w:line="360" w:lineRule="auto"/>
        <w:ind w:firstLine="660"/>
        <w:rPr>
          <w:rFonts w:hint="eastAsia" w:ascii="仿宋_GB2312" w:hAnsi="宋体" w:eastAsia="仿宋_GB2312"/>
          <w:sz w:val="32"/>
          <w:szCs w:val="32"/>
          <w:lang w:val="en-US" w:eastAsia="zh-CN"/>
        </w:rPr>
      </w:pPr>
      <w:r>
        <w:rPr>
          <w:rFonts w:hint="eastAsia" w:ascii="仿宋_GB2312" w:hAnsi="宋体" w:eastAsia="仿宋_GB2312"/>
          <w:sz w:val="32"/>
          <w:szCs w:val="32"/>
        </w:rPr>
        <w:t>2.</w:t>
      </w:r>
      <w:r>
        <w:rPr>
          <w:rFonts w:hint="eastAsia" w:ascii="仿宋_GB2312" w:hAnsi="宋体" w:eastAsia="仿宋_GB2312"/>
          <w:sz w:val="32"/>
          <w:szCs w:val="32"/>
          <w:lang w:eastAsia="zh-CN"/>
        </w:rPr>
        <w:t>项目支出</w:t>
      </w:r>
      <w:r>
        <w:rPr>
          <w:rFonts w:hint="eastAsia" w:ascii="仿宋_GB2312" w:hAnsi="宋体" w:eastAsia="仿宋_GB2312"/>
          <w:sz w:val="32"/>
          <w:szCs w:val="32"/>
          <w:lang w:val="en-US" w:eastAsia="zh-CN"/>
        </w:rPr>
        <w:t>780.66万元，占支出总计的2.7%。</w:t>
      </w:r>
    </w:p>
    <w:p>
      <w:pPr>
        <w:spacing w:line="360" w:lineRule="auto"/>
        <w:ind w:firstLine="660"/>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其中：债务付息支出</w:t>
      </w:r>
      <w:r>
        <w:rPr>
          <w:rFonts w:hint="eastAsia" w:ascii="仿宋_GB2312" w:hAnsi="宋体" w:eastAsia="仿宋_GB2312"/>
          <w:sz w:val="32"/>
          <w:szCs w:val="32"/>
          <w:lang w:val="en-US" w:eastAsia="zh-CN"/>
        </w:rPr>
        <w:t>2.16万元。</w:t>
      </w:r>
    </w:p>
    <w:p>
      <w:pPr>
        <w:spacing w:line="360" w:lineRule="auto"/>
        <w:ind w:firstLine="660"/>
        <w:rPr>
          <w:rFonts w:hint="eastAsia" w:ascii="仿宋_GB2312" w:hAnsi="宋体" w:eastAsia="仿宋_GB2312"/>
          <w:sz w:val="32"/>
          <w:szCs w:val="32"/>
          <w:lang w:val="en-US" w:eastAsia="zh-CN"/>
        </w:rPr>
      </w:pPr>
      <w:r>
        <w:rPr>
          <w:rFonts w:hint="eastAsia" w:ascii="仿宋_GB2312" w:hAnsi="宋体" w:eastAsia="仿宋_GB2312"/>
          <w:sz w:val="32"/>
          <w:szCs w:val="32"/>
        </w:rPr>
        <w:t>4.</w:t>
      </w:r>
      <w:r>
        <w:rPr>
          <w:rFonts w:hint="eastAsia" w:ascii="仿宋_GB2312" w:hAnsi="宋体" w:eastAsia="仿宋_GB2312"/>
          <w:sz w:val="32"/>
          <w:szCs w:val="32"/>
          <w:lang w:eastAsia="zh-CN"/>
        </w:rPr>
        <w:t>年末结转和结余</w:t>
      </w:r>
      <w:r>
        <w:rPr>
          <w:rFonts w:hint="eastAsia" w:ascii="仿宋_GB2312" w:hAnsi="宋体" w:eastAsia="仿宋_GB2312"/>
          <w:sz w:val="32"/>
          <w:szCs w:val="32"/>
          <w:lang w:val="en-US" w:eastAsia="zh-CN"/>
        </w:rPr>
        <w:t>19008.49万元，占支出总计的65.68%。</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、其他重要事项的情况说明</w:t>
      </w:r>
    </w:p>
    <w:p>
      <w:pPr>
        <w:spacing w:line="540" w:lineRule="exact"/>
        <w:ind w:firstLine="643" w:firstLineChars="200"/>
        <w:rPr>
          <w:rFonts w:hint="eastAsia" w:ascii="楷体_GB2312" w:hAnsi="黑体" w:eastAsia="楷体_GB2312"/>
          <w:b/>
          <w:sz w:val="32"/>
          <w:szCs w:val="32"/>
        </w:rPr>
      </w:pPr>
      <w:r>
        <w:rPr>
          <w:rFonts w:hint="eastAsia" w:ascii="楷体_GB2312" w:hAnsi="黑体" w:eastAsia="楷体_GB2312"/>
          <w:b/>
          <w:sz w:val="32"/>
          <w:szCs w:val="32"/>
        </w:rPr>
        <w:t>（一）机关运行经费支出情况。</w:t>
      </w:r>
    </w:p>
    <w:p>
      <w:pPr>
        <w:spacing w:line="54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本医院属于事业单位，无机关运行经费预算。</w:t>
      </w:r>
    </w:p>
    <w:p>
      <w:pPr>
        <w:spacing w:line="540" w:lineRule="exact"/>
        <w:ind w:firstLine="643" w:firstLineChars="200"/>
        <w:rPr>
          <w:rFonts w:hint="eastAsia" w:ascii="楷体_GB2312" w:hAnsi="黑体" w:eastAsia="楷体_GB2312"/>
          <w:b/>
          <w:sz w:val="32"/>
          <w:szCs w:val="32"/>
        </w:rPr>
      </w:pPr>
      <w:r>
        <w:rPr>
          <w:rFonts w:hint="eastAsia" w:ascii="楷体_GB2312" w:hAnsi="黑体" w:eastAsia="楷体_GB2312"/>
          <w:b/>
          <w:sz w:val="32"/>
          <w:szCs w:val="32"/>
        </w:rPr>
        <w:t>（二）</w:t>
      </w:r>
      <w:r>
        <w:rPr>
          <w:rFonts w:hint="eastAsia" w:ascii="楷体_GB2312" w:hAnsi="黑体" w:eastAsia="楷体_GB2312"/>
          <w:b/>
          <w:sz w:val="32"/>
          <w:szCs w:val="32"/>
          <w:lang w:eastAsia="zh-CN"/>
        </w:rPr>
        <w:t>“三公”经费预算情况</w:t>
      </w:r>
      <w:r>
        <w:rPr>
          <w:rFonts w:hint="eastAsia" w:ascii="楷体_GB2312" w:hAnsi="黑体" w:eastAsia="楷体_GB2312"/>
          <w:b/>
          <w:sz w:val="32"/>
          <w:szCs w:val="32"/>
        </w:rPr>
        <w:t>。</w:t>
      </w:r>
    </w:p>
    <w:p>
      <w:pPr>
        <w:spacing w:line="540" w:lineRule="exact"/>
        <w:jc w:val="center"/>
        <w:rPr>
          <w:rFonts w:ascii="宋体" w:hAnsi="宋体"/>
          <w:b/>
          <w:sz w:val="36"/>
          <w:szCs w:val="36"/>
        </w:rPr>
      </w:pPr>
      <w:r>
        <w:rPr>
          <w:rFonts w:hint="eastAsia" w:ascii="仿宋_GB2312" w:hAnsi="黑体" w:eastAsia="仿宋_GB2312"/>
          <w:sz w:val="32"/>
          <w:szCs w:val="32"/>
          <w:lang w:val="en-US" w:eastAsia="zh-CN"/>
        </w:rPr>
        <w:t>2021年，医院一般公共预算安排的“三公”经费预算为0万元。</w:t>
      </w:r>
      <w:r>
        <w:rPr>
          <w:rFonts w:ascii="宋体" w:hAnsi="宋体"/>
          <w:b/>
          <w:sz w:val="36"/>
          <w:szCs w:val="36"/>
        </w:rPr>
        <w:br w:type="page"/>
      </w:r>
      <w:r>
        <w:rPr>
          <w:rFonts w:hint="eastAsia" w:ascii="宋体" w:hAnsi="宋体"/>
          <w:b/>
          <w:sz w:val="36"/>
          <w:szCs w:val="36"/>
        </w:rPr>
        <w:t>第三部分 名词解释</w:t>
      </w:r>
    </w:p>
    <w:p>
      <w:pPr>
        <w:spacing w:line="540" w:lineRule="exact"/>
        <w:jc w:val="center"/>
        <w:rPr>
          <w:rFonts w:ascii="宋体" w:hAnsi="宋体"/>
          <w:b/>
          <w:sz w:val="36"/>
          <w:szCs w:val="36"/>
        </w:rPr>
      </w:pP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1.财政拨款收入：</w:t>
      </w:r>
      <w:r>
        <w:rPr>
          <w:rFonts w:hint="eastAsia" w:ascii="仿宋_GB2312" w:eastAsia="仿宋_GB2312"/>
          <w:sz w:val="32"/>
          <w:szCs w:val="32"/>
        </w:rPr>
        <w:t>指单位从同级财政部门取得的财政预算资金。</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2.上级补助收入：</w:t>
      </w:r>
      <w:r>
        <w:rPr>
          <w:rFonts w:hint="eastAsia" w:ascii="仿宋_GB2312" w:eastAsia="仿宋_GB2312"/>
          <w:sz w:val="32"/>
          <w:szCs w:val="32"/>
        </w:rPr>
        <w:t>指单位从主管部门和上级单位取得的非财政性补助收入。</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3.事业收入：</w:t>
      </w:r>
      <w:r>
        <w:rPr>
          <w:rFonts w:hint="eastAsia" w:ascii="仿宋_GB2312" w:eastAsia="仿宋_GB2312"/>
          <w:sz w:val="32"/>
          <w:szCs w:val="32"/>
        </w:rPr>
        <w:t>指事业单位开展专业业务活动及辅助活动所取得的收入。</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4.经营收入：</w:t>
      </w:r>
      <w:r>
        <w:rPr>
          <w:rFonts w:hint="eastAsia" w:ascii="仿宋_GB2312" w:eastAsia="仿宋_GB2312"/>
          <w:sz w:val="32"/>
          <w:szCs w:val="32"/>
        </w:rPr>
        <w:t>指事业单位在专业业务活动及辅助活动之外开展非独立核算经营活动取得的收入。</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5.附属单位上缴收入：</w:t>
      </w:r>
      <w:r>
        <w:rPr>
          <w:rFonts w:hint="eastAsia" w:ascii="仿宋_GB2312" w:eastAsia="仿宋_GB2312"/>
          <w:sz w:val="32"/>
          <w:szCs w:val="32"/>
        </w:rPr>
        <w:t>指单位附属的独立核算单位按照规定上缴的收入。</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6.其他收入：</w:t>
      </w:r>
      <w:r>
        <w:rPr>
          <w:rFonts w:hint="eastAsia" w:ascii="仿宋_GB2312" w:eastAsia="仿宋_GB2312"/>
          <w:sz w:val="32"/>
          <w:szCs w:val="32"/>
        </w:rPr>
        <w:t>指除上述“财政拨款收入”、</w:t>
      </w:r>
      <w:r>
        <w:rPr>
          <w:rFonts w:hint="eastAsia" w:ascii="仿宋_GB2312" w:eastAsia="仿宋_GB2312"/>
          <w:b/>
          <w:sz w:val="32"/>
          <w:szCs w:val="32"/>
        </w:rPr>
        <w:t xml:space="preserve"> </w:t>
      </w:r>
      <w:r>
        <w:rPr>
          <w:rFonts w:hint="eastAsia" w:ascii="仿宋_GB2312" w:eastAsia="仿宋_GB2312"/>
          <w:sz w:val="32"/>
          <w:szCs w:val="32"/>
        </w:rPr>
        <w:t>“上级补助收入”、“事业收入”、“经营收入”、“附属单位上缴收入”等以外的收入。</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7.使用非财政拨款结余：</w:t>
      </w:r>
      <w:r>
        <w:rPr>
          <w:rFonts w:hint="eastAsia" w:ascii="仿宋_GB2312" w:eastAsia="仿宋_GB2312"/>
          <w:sz w:val="32"/>
          <w:szCs w:val="32"/>
        </w:rPr>
        <w:t>指事业单位按照预算管理要求使用非财政拨款结余弥补收支差额的金额。</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8.上年结转和结余：</w:t>
      </w:r>
      <w:r>
        <w:rPr>
          <w:rFonts w:hint="eastAsia" w:ascii="仿宋_GB2312" w:eastAsia="仿宋_GB2312"/>
          <w:sz w:val="32"/>
          <w:szCs w:val="32"/>
        </w:rPr>
        <w:t>指以前年度尚未完成、结转到本年按有关规定继续使用的资金。</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9.基本支出：</w:t>
      </w:r>
      <w:r>
        <w:rPr>
          <w:rFonts w:hint="eastAsia" w:ascii="仿宋_GB2312" w:eastAsia="仿宋_GB2312"/>
          <w:sz w:val="32"/>
          <w:szCs w:val="32"/>
        </w:rPr>
        <w:t>指保障机构正常运转、完成日常工作任务而发生的人员支出和公用支出。</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10.项目支出：</w:t>
      </w:r>
      <w:r>
        <w:rPr>
          <w:rFonts w:hint="eastAsia" w:ascii="仿宋_GB2312" w:eastAsia="仿宋_GB2312"/>
          <w:sz w:val="32"/>
          <w:szCs w:val="32"/>
        </w:rPr>
        <w:t>指在基本支出之外为完成特定行政任务和事业发展目标所发生的支出。</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11.上缴上级支出：</w:t>
      </w:r>
      <w:r>
        <w:rPr>
          <w:rFonts w:hint="eastAsia" w:ascii="仿宋_GB2312" w:eastAsia="仿宋_GB2312"/>
          <w:sz w:val="32"/>
          <w:szCs w:val="32"/>
        </w:rPr>
        <w:t>指事业单位按照财政部门和主管部门的规定上缴上级单位的支出。</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12.经营支出：</w:t>
      </w:r>
      <w:r>
        <w:rPr>
          <w:rFonts w:hint="eastAsia" w:ascii="仿宋_GB2312" w:eastAsia="仿宋_GB2312"/>
          <w:sz w:val="32"/>
          <w:szCs w:val="32"/>
        </w:rPr>
        <w:t>指事业单位在专业活动及辅助活动之外开展非独立核算经营活动发生的支出。</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13.对附属单位补助支出：</w:t>
      </w:r>
      <w:r>
        <w:rPr>
          <w:rFonts w:hint="eastAsia" w:ascii="仿宋_GB2312" w:eastAsia="仿宋_GB2312"/>
          <w:sz w:val="32"/>
          <w:szCs w:val="32"/>
        </w:rPr>
        <w:t>指事业单位用财政补助收入之外的收入对附属单位补助发生的支出。</w:t>
      </w:r>
    </w:p>
    <w:p>
      <w:pPr>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14.“三公”经费：</w:t>
      </w:r>
      <w:r>
        <w:rPr>
          <w:rFonts w:hint="eastAsia" w:ascii="仿宋_GB2312" w:eastAsia="仿宋_GB2312"/>
          <w:sz w:val="32"/>
          <w:szCs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15.机关运行经费：</w:t>
      </w:r>
      <w:r>
        <w:rPr>
          <w:rFonts w:hint="eastAsia"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16.一般公共服务（类）财政事务（款）行政运行（项）：</w:t>
      </w:r>
      <w:r>
        <w:rPr>
          <w:rFonts w:hint="eastAsia" w:ascii="仿宋_GB2312" w:eastAsia="仿宋_GB2312"/>
          <w:sz w:val="32"/>
          <w:szCs w:val="32"/>
        </w:rPr>
        <w:t>反映行政单位（包括实行公务员管理的事业单位）的基本支出。</w:t>
      </w:r>
    </w:p>
    <w:p>
      <w:pPr>
        <w:spacing w:line="540" w:lineRule="exact"/>
        <w:ind w:firstLine="640" w:firstLineChars="200"/>
        <w:jc w:val="left"/>
        <w:rPr>
          <w:rFonts w:hint="eastAsia" w:ascii="仿宋_GB2312" w:eastAsia="仿宋_GB2312"/>
          <w:i/>
          <w:sz w:val="32"/>
          <w:szCs w:val="32"/>
          <w:u w:val="single"/>
        </w:rPr>
      </w:pPr>
    </w:p>
    <w:p>
      <w:pPr>
        <w:spacing w:line="540" w:lineRule="exact"/>
        <w:rPr>
          <w:rFonts w:hint="eastAsia" w:ascii="宋体" w:hAnsi="宋体"/>
          <w:b/>
          <w:sz w:val="36"/>
          <w:szCs w:val="36"/>
        </w:rPr>
      </w:pPr>
    </w:p>
    <w:p>
      <w:pPr>
        <w:spacing w:line="540" w:lineRule="exact"/>
        <w:jc w:val="center"/>
        <w:rPr>
          <w:rFonts w:hint="eastAsia" w:ascii="宋体" w:hAnsi="宋体"/>
          <w:b/>
          <w:sz w:val="36"/>
          <w:szCs w:val="36"/>
        </w:rPr>
      </w:pPr>
    </w:p>
    <w:p>
      <w:pPr>
        <w:spacing w:line="540" w:lineRule="exact"/>
        <w:jc w:val="center"/>
        <w:rPr>
          <w:rFonts w:hint="eastAsia" w:ascii="宋体" w:hAnsi="宋体"/>
          <w:b/>
          <w:sz w:val="36"/>
          <w:szCs w:val="36"/>
        </w:rPr>
      </w:pPr>
    </w:p>
    <w:p>
      <w:pPr>
        <w:spacing w:line="540" w:lineRule="exact"/>
        <w:jc w:val="both"/>
        <w:rPr>
          <w:rFonts w:hint="eastAsia" w:ascii="宋体" w:hAnsi="宋体"/>
          <w:b/>
          <w:sz w:val="36"/>
          <w:szCs w:val="36"/>
        </w:rPr>
      </w:pPr>
    </w:p>
    <w:p>
      <w:pPr>
        <w:spacing w:line="540" w:lineRule="exact"/>
        <w:jc w:val="center"/>
        <w:rPr>
          <w:rFonts w:hint="eastAsia" w:ascii="宋体" w:hAnsi="宋体"/>
          <w:b/>
          <w:sz w:val="52"/>
          <w:szCs w:val="52"/>
        </w:rPr>
      </w:pPr>
    </w:p>
    <w:p>
      <w:pPr>
        <w:spacing w:line="540" w:lineRule="exact"/>
        <w:jc w:val="center"/>
        <w:rPr>
          <w:rFonts w:hint="eastAsia" w:ascii="宋体" w:hAnsi="宋体"/>
          <w:b/>
          <w:sz w:val="52"/>
          <w:szCs w:val="52"/>
        </w:rPr>
      </w:pPr>
    </w:p>
    <w:p>
      <w:pPr>
        <w:spacing w:line="540" w:lineRule="exact"/>
        <w:jc w:val="center"/>
        <w:rPr>
          <w:rFonts w:hint="eastAsia" w:ascii="宋体" w:hAnsi="宋体"/>
          <w:b/>
          <w:sz w:val="52"/>
          <w:szCs w:val="52"/>
        </w:rPr>
      </w:pPr>
    </w:p>
    <w:p>
      <w:pPr>
        <w:spacing w:line="540" w:lineRule="exact"/>
        <w:jc w:val="center"/>
        <w:rPr>
          <w:rFonts w:hint="eastAsia" w:ascii="宋体" w:hAnsi="宋体"/>
          <w:b/>
          <w:sz w:val="52"/>
          <w:szCs w:val="52"/>
        </w:rPr>
      </w:pPr>
    </w:p>
    <w:p>
      <w:pPr>
        <w:spacing w:line="540" w:lineRule="exact"/>
        <w:jc w:val="center"/>
        <w:rPr>
          <w:rFonts w:hint="eastAsia" w:ascii="宋体" w:hAnsi="宋体"/>
          <w:b/>
          <w:sz w:val="52"/>
          <w:szCs w:val="52"/>
        </w:rPr>
      </w:pPr>
    </w:p>
    <w:p>
      <w:pPr>
        <w:numPr>
          <w:ilvl w:val="0"/>
          <w:numId w:val="2"/>
        </w:numPr>
        <w:spacing w:line="540" w:lineRule="exact"/>
        <w:jc w:val="center"/>
        <w:rPr>
          <w:rFonts w:hint="eastAsia" w:ascii="宋体" w:hAnsi="宋体"/>
          <w:b/>
          <w:sz w:val="52"/>
          <w:szCs w:val="52"/>
        </w:rPr>
      </w:pPr>
      <w:r>
        <w:rPr>
          <w:rFonts w:hint="eastAsia" w:ascii="宋体" w:hAnsi="宋体"/>
          <w:b/>
          <w:sz w:val="52"/>
          <w:szCs w:val="52"/>
        </w:rPr>
        <w:t>2021年度部门决算表</w:t>
      </w: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p>
    <w:p>
      <w:pPr>
        <w:numPr>
          <w:ilvl w:val="0"/>
          <w:numId w:val="0"/>
        </w:numPr>
        <w:spacing w:line="540" w:lineRule="exact"/>
        <w:jc w:val="both"/>
        <w:rPr>
          <w:rFonts w:hint="eastAsia" w:ascii="宋体" w:hAnsi="宋体"/>
          <w:b/>
          <w:sz w:val="52"/>
          <w:szCs w:val="52"/>
        </w:rPr>
      </w:pPr>
      <w:bookmarkStart w:id="0" w:name="_GoBack"/>
      <w:bookmarkEnd w:id="0"/>
    </w:p>
    <w:tbl>
      <w:tblPr>
        <w:tblStyle w:val="3"/>
        <w:tblpPr w:leftFromText="180" w:rightFromText="180" w:vertAnchor="text" w:horzAnchor="page" w:tblpX="620" w:tblpY="-10390"/>
        <w:tblOverlap w:val="never"/>
        <w:tblW w:w="110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61"/>
        <w:gridCol w:w="552"/>
        <w:gridCol w:w="1344"/>
        <w:gridCol w:w="3456"/>
        <w:gridCol w:w="612"/>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11076" w:type="dxa"/>
            <w:gridSpan w:val="6"/>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376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5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3761"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部门：抚顺市传染病医院</w:t>
            </w:r>
          </w:p>
        </w:tc>
        <w:tc>
          <w:tcPr>
            <w:tcW w:w="5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5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5657"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419" w:type="dxa"/>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5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2"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2"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5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909.26</w:t>
            </w: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10,367.45</w:t>
            </w: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82.34</w:t>
            </w: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11,359.05</w:t>
            </w: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5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17,583.26</w:t>
            </w: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5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4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56"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5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2" w:type="dxa"/>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28,942.31</w:t>
            </w:r>
          </w:p>
        </w:tc>
        <w:tc>
          <w:tcPr>
            <w:tcW w:w="3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1076"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注：本表反映部门本年度的总收支和年末结转结余情况。本套报表金额单位转换万元时可能存在尾数误差。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076"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如本表为空，则我部门本年度无此类资金收支余。</w:t>
            </w:r>
          </w:p>
        </w:tc>
      </w:tr>
    </w:tbl>
    <w:p>
      <w:pPr>
        <w:rPr>
          <w:sz w:val="32"/>
          <w:szCs w:val="32"/>
        </w:rPr>
        <w:sectPr>
          <w:footerReference r:id="rId3" w:type="default"/>
          <w:pgSz w:w="11906" w:h="16838"/>
          <w:pgMar w:top="1701" w:right="1418" w:bottom="1701" w:left="1418" w:header="851" w:footer="992" w:gutter="0"/>
          <w:cols w:space="720" w:num="1"/>
          <w:docGrid w:type="lines" w:linePitch="312" w:charSpace="0"/>
        </w:sectPr>
      </w:pPr>
    </w:p>
    <w:tbl>
      <w:tblPr>
        <w:tblStyle w:val="3"/>
        <w:tblW w:w="15020" w:type="dxa"/>
        <w:tblInd w:w="4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263"/>
        <w:gridCol w:w="263"/>
        <w:gridCol w:w="3416"/>
        <w:gridCol w:w="1441"/>
        <w:gridCol w:w="1441"/>
        <w:gridCol w:w="1441"/>
        <w:gridCol w:w="1441"/>
        <w:gridCol w:w="1441"/>
        <w:gridCol w:w="144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5020" w:type="dxa"/>
            <w:gridSpan w:val="11"/>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2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抚顺市传染病医院</w:t>
            </w: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75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42"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41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42"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1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42"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1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75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75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11,359.05</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909.26</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10,367.45</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4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4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4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4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11,304.08</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854.29</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10,367.45</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21002</w:t>
            </w:r>
          </w:p>
        </w:tc>
        <w:tc>
          <w:tcPr>
            <w:tcW w:w="34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公立医院</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10,747.83</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298.04</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10,367.45</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2100203</w:t>
            </w:r>
          </w:p>
        </w:tc>
        <w:tc>
          <w:tcPr>
            <w:tcW w:w="34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传染病医院</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10,449.79</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10,367.45</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2100299</w:t>
            </w:r>
          </w:p>
        </w:tc>
        <w:tc>
          <w:tcPr>
            <w:tcW w:w="34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其他公立医院支出</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298.04</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298.04</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34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556.25</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556.25</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2100401</w:t>
            </w:r>
          </w:p>
        </w:tc>
        <w:tc>
          <w:tcPr>
            <w:tcW w:w="34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疾病预防控制机构</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429.20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429.20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2100408</w:t>
            </w:r>
          </w:p>
        </w:tc>
        <w:tc>
          <w:tcPr>
            <w:tcW w:w="34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2100409</w:t>
            </w:r>
          </w:p>
        </w:tc>
        <w:tc>
          <w:tcPr>
            <w:tcW w:w="34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232</w:t>
            </w:r>
          </w:p>
        </w:tc>
        <w:tc>
          <w:tcPr>
            <w:tcW w:w="34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债务付息支出</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23203</w:t>
            </w:r>
          </w:p>
        </w:tc>
        <w:tc>
          <w:tcPr>
            <w:tcW w:w="34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地方政府一般债务付息支出</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42"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2320302</w:t>
            </w:r>
          </w:p>
        </w:tc>
        <w:tc>
          <w:tcPr>
            <w:tcW w:w="34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地方政府向外国政府借款付息支出</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5020"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020"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本表金额转换成万元时，因四舍五入可能存在尾差。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5020"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如本表为空，则我部门本年度无此类资金收支余。</w:t>
            </w:r>
          </w:p>
        </w:tc>
      </w:tr>
    </w:tbl>
    <w:p>
      <w:pPr>
        <w:rPr>
          <w:sz w:val="32"/>
          <w:szCs w:val="32"/>
        </w:rPr>
      </w:pPr>
      <w:r>
        <w:rPr>
          <w:sz w:val="32"/>
          <w:szCs w:val="32"/>
        </w:rPr>
        <w:br w:type="page"/>
      </w:r>
    </w:p>
    <w:tbl>
      <w:tblPr>
        <w:tblStyle w:val="3"/>
        <w:tblpPr w:leftFromText="180" w:rightFromText="180" w:vertAnchor="text" w:horzAnchor="page" w:tblpX="787" w:tblpY="-164"/>
        <w:tblOverlap w:val="never"/>
        <w:tblW w:w="158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1"/>
        <w:gridCol w:w="240"/>
        <w:gridCol w:w="240"/>
        <w:gridCol w:w="3587"/>
        <w:gridCol w:w="1933"/>
        <w:gridCol w:w="2107"/>
        <w:gridCol w:w="1853"/>
        <w:gridCol w:w="1547"/>
        <w:gridCol w:w="1600"/>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5853" w:type="dxa"/>
            <w:gridSpan w:val="10"/>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1041"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4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4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3587"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933"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107"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853"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547"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60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70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5108" w:type="dxa"/>
            <w:gridSpan w:val="4"/>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部门：辽宁省抚顺市传染病医院</w:t>
            </w:r>
          </w:p>
        </w:tc>
        <w:tc>
          <w:tcPr>
            <w:tcW w:w="1933"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7"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85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547"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60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0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10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93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210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85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54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60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70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21"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587"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93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85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2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587"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93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85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2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587"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93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85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10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93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0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5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4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10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9,933.82</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9,153.15</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780.66</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5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93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21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15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5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93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21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15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5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93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9,878.85</w:t>
            </w:r>
          </w:p>
        </w:tc>
        <w:tc>
          <w:tcPr>
            <w:tcW w:w="21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9,153.15</w:t>
            </w:r>
          </w:p>
        </w:tc>
        <w:tc>
          <w:tcPr>
            <w:tcW w:w="18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725.70</w:t>
            </w:r>
          </w:p>
        </w:tc>
        <w:tc>
          <w:tcPr>
            <w:tcW w:w="15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21002</w:t>
            </w:r>
          </w:p>
        </w:tc>
        <w:tc>
          <w:tcPr>
            <w:tcW w:w="35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公立医院</w:t>
            </w:r>
          </w:p>
        </w:tc>
        <w:tc>
          <w:tcPr>
            <w:tcW w:w="193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9,345.06</w:t>
            </w:r>
          </w:p>
        </w:tc>
        <w:tc>
          <w:tcPr>
            <w:tcW w:w="21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9,053.15</w:t>
            </w:r>
          </w:p>
        </w:tc>
        <w:tc>
          <w:tcPr>
            <w:tcW w:w="18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291.91</w:t>
            </w:r>
          </w:p>
        </w:tc>
        <w:tc>
          <w:tcPr>
            <w:tcW w:w="15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2100201</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综合医院</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2100203</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传染病医院</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9,053.15</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9,053.15</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2100299</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其他公立医院支出</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291.51</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291.51</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35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193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533.62</w:t>
            </w:r>
          </w:p>
        </w:tc>
        <w:tc>
          <w:tcPr>
            <w:tcW w:w="21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w:t>
            </w:r>
          </w:p>
        </w:tc>
        <w:tc>
          <w:tcPr>
            <w:tcW w:w="18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433.62</w:t>
            </w:r>
          </w:p>
        </w:tc>
        <w:tc>
          <w:tcPr>
            <w:tcW w:w="15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2100401</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疾病预防控制机构</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429.20</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329.20</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2100408</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2100409</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29.40</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29.40</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74.27</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74.27</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21006</w:t>
            </w:r>
          </w:p>
        </w:tc>
        <w:tc>
          <w:tcPr>
            <w:tcW w:w="35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中医药</w:t>
            </w:r>
          </w:p>
        </w:tc>
        <w:tc>
          <w:tcPr>
            <w:tcW w:w="193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0.17</w:t>
            </w:r>
          </w:p>
        </w:tc>
        <w:tc>
          <w:tcPr>
            <w:tcW w:w="21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0.17</w:t>
            </w:r>
          </w:p>
        </w:tc>
        <w:tc>
          <w:tcPr>
            <w:tcW w:w="15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232</w:t>
            </w:r>
          </w:p>
        </w:tc>
        <w:tc>
          <w:tcPr>
            <w:tcW w:w="35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债务付息支出</w:t>
            </w:r>
          </w:p>
        </w:tc>
        <w:tc>
          <w:tcPr>
            <w:tcW w:w="193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21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15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23203</w:t>
            </w:r>
          </w:p>
        </w:tc>
        <w:tc>
          <w:tcPr>
            <w:tcW w:w="35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地方政府一般债务付息支出</w:t>
            </w:r>
          </w:p>
        </w:tc>
        <w:tc>
          <w:tcPr>
            <w:tcW w:w="193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21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15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2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2320302</w:t>
            </w:r>
          </w:p>
        </w:tc>
        <w:tc>
          <w:tcPr>
            <w:tcW w:w="3587"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地方政府向外国政府借款付息支出</w:t>
            </w:r>
          </w:p>
        </w:tc>
        <w:tc>
          <w:tcPr>
            <w:tcW w:w="19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1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5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5853"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5853"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本表金额转换成万元时，因四舍五入可能存在尾差。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5853"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如本表为空，则我部门本年度无此类资金收支余。</w:t>
            </w:r>
          </w:p>
        </w:tc>
      </w:tr>
    </w:tbl>
    <w:tbl>
      <w:tblPr>
        <w:tblStyle w:val="3"/>
        <w:tblW w:w="158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20"/>
        <w:gridCol w:w="485"/>
        <w:gridCol w:w="1335"/>
        <w:gridCol w:w="3545"/>
        <w:gridCol w:w="1264"/>
        <w:gridCol w:w="1164"/>
        <w:gridCol w:w="1418"/>
        <w:gridCol w:w="1480"/>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5824" w:type="dxa"/>
            <w:gridSpan w:val="9"/>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62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485"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335"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3545"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264"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164"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418"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48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513"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62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部门：辽宁省抚顺市传染病医院</w:t>
            </w:r>
          </w:p>
        </w:tc>
        <w:tc>
          <w:tcPr>
            <w:tcW w:w="48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54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64"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41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993"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54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10384"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20"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33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545"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6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164"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48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51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3620"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4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545"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126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6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1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8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1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85"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45" w:type="dxa"/>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64"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1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909.26</w:t>
            </w: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825.70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825.70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909.26</w:t>
            </w: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880.66</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880.66</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17,583.26</w:t>
            </w: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17,611.85</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111.85</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83.26</w:t>
            </w:r>
          </w:p>
        </w:tc>
        <w:tc>
          <w:tcPr>
            <w:tcW w:w="354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17,500.00</w:t>
            </w:r>
          </w:p>
        </w:tc>
        <w:tc>
          <w:tcPr>
            <w:tcW w:w="354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54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6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62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18,492.51</w:t>
            </w:r>
          </w:p>
        </w:tc>
        <w:tc>
          <w:tcPr>
            <w:tcW w:w="35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2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18,492.51</w:t>
            </w:r>
          </w:p>
        </w:tc>
        <w:tc>
          <w:tcPr>
            <w:tcW w:w="14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992.51</w:t>
            </w:r>
          </w:p>
        </w:tc>
        <w:tc>
          <w:tcPr>
            <w:tcW w:w="14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17,500.00</w:t>
            </w:r>
          </w:p>
        </w:tc>
        <w:tc>
          <w:tcPr>
            <w:tcW w:w="151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4311"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51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4311"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本表金额转换成万元时，因四舍五入可能存在尾差。</w:t>
            </w:r>
          </w:p>
        </w:tc>
        <w:tc>
          <w:tcPr>
            <w:tcW w:w="151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4311"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如本表为空，则我部门本年度无此类资金收支余。</w:t>
            </w:r>
          </w:p>
        </w:tc>
        <w:tc>
          <w:tcPr>
            <w:tcW w:w="151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spacing w:line="540" w:lineRule="exact"/>
        <w:rPr>
          <w:sz w:val="32"/>
          <w:szCs w:val="32"/>
        </w:rPr>
      </w:pPr>
    </w:p>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tbl>
      <w:tblPr>
        <w:tblStyle w:val="3"/>
        <w:tblW w:w="155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9"/>
        <w:gridCol w:w="3826"/>
        <w:gridCol w:w="2856"/>
        <w:gridCol w:w="2662"/>
        <w:gridCol w:w="2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5520" w:type="dxa"/>
            <w:gridSpan w:val="5"/>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789"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3826"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856"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662"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38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78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部门：辽宁省抚顺市传染病医院</w:t>
            </w:r>
          </w:p>
        </w:tc>
        <w:tc>
          <w:tcPr>
            <w:tcW w:w="382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285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66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387"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615"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90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3789"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82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8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66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38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789"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82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8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6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38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3789"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82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8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6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38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615"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615"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880.66</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82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82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82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825.70</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21002</w:t>
            </w:r>
          </w:p>
        </w:tc>
        <w:tc>
          <w:tcPr>
            <w:tcW w:w="382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公立医院</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291.91</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2100201</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综合医院</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2100299</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其他公立医院支出</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291.51</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21004</w:t>
            </w:r>
          </w:p>
        </w:tc>
        <w:tc>
          <w:tcPr>
            <w:tcW w:w="382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公共卫生</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533.62</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2100401</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疾病预防控制机构</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429.20</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2100408</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2100409</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29.40</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74.27</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21006</w:t>
            </w:r>
          </w:p>
        </w:tc>
        <w:tc>
          <w:tcPr>
            <w:tcW w:w="382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中医药</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0.17</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232</w:t>
            </w:r>
          </w:p>
        </w:tc>
        <w:tc>
          <w:tcPr>
            <w:tcW w:w="382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债务付息支出</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23203</w:t>
            </w:r>
          </w:p>
        </w:tc>
        <w:tc>
          <w:tcPr>
            <w:tcW w:w="382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地方政府一般债务付息支出</w:t>
            </w:r>
          </w:p>
        </w:tc>
        <w:tc>
          <w:tcPr>
            <w:tcW w:w="28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266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789"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2320302</w:t>
            </w:r>
          </w:p>
        </w:tc>
        <w:tc>
          <w:tcPr>
            <w:tcW w:w="382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地方政府向外国政府借款付息支出</w:t>
            </w:r>
          </w:p>
        </w:tc>
        <w:tc>
          <w:tcPr>
            <w:tcW w:w="28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6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520" w:type="dxa"/>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520" w:type="dxa"/>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本表金额转换成万元时，因四舍五入可能存在尾差。</w:t>
            </w:r>
            <w:r>
              <w:rPr>
                <w:rFonts w:hint="eastAsia" w:ascii="宋体" w:hAnsi="宋体" w:eastAsia="宋体" w:cs="宋体"/>
                <w:i w:val="0"/>
                <w:iCs w:val="0"/>
                <w:color w:val="000000"/>
                <w:kern w:val="0"/>
                <w:sz w:val="20"/>
                <w:szCs w:val="20"/>
                <w:u w:val="none"/>
                <w:lang w:val="en-US" w:eastAsia="zh-CN" w:bidi="ar"/>
              </w:rPr>
              <w:t>如本表为空，则我部门本年度无此类资金收支余。</w:t>
            </w:r>
          </w:p>
        </w:tc>
      </w:tr>
    </w:tbl>
    <w:p>
      <w:pPr>
        <w:bidi w:val="0"/>
        <w:ind w:firstLine="592" w:firstLineChars="0"/>
        <w:jc w:val="left"/>
        <w:rPr>
          <w:lang w:val="en-US" w:eastAsia="zh-CN"/>
        </w:rPr>
      </w:pPr>
    </w:p>
    <w:tbl>
      <w:tblPr>
        <w:tblStyle w:val="3"/>
        <w:tblW w:w="158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5"/>
        <w:gridCol w:w="2784"/>
        <w:gridCol w:w="1512"/>
        <w:gridCol w:w="1152"/>
        <w:gridCol w:w="2244"/>
        <w:gridCol w:w="1356"/>
        <w:gridCol w:w="1116"/>
        <w:gridCol w:w="3053"/>
        <w:gridCol w:w="1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15824" w:type="dxa"/>
            <w:gridSpan w:val="9"/>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5"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784"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512"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152"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244"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356"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116"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3053"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43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959" w:type="dxa"/>
            <w:gridSpan w:val="2"/>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部门：辽宁省抚顺市传染病医院</w:t>
            </w:r>
          </w:p>
        </w:tc>
        <w:tc>
          <w:tcPr>
            <w:tcW w:w="151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5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4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5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05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432"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47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0353"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5"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78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1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15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4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1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05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3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5"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78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1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4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5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3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31201</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31203</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31204</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31205</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31299</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78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784"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5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3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784"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5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52"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244"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3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784"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5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52"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244"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3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75"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784"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5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52"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244"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3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1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3959"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5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921"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5824"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24"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本表金额转换成万元时，因四舍五入可能存在尾差。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24"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如本表为空，则我部门本年度无此类资金收支余。</w:t>
            </w:r>
          </w:p>
        </w:tc>
      </w:tr>
    </w:tbl>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p>
      <w:pPr>
        <w:bidi w:val="0"/>
        <w:ind w:firstLine="592" w:firstLineChars="0"/>
        <w:jc w:val="left"/>
        <w:rPr>
          <w:lang w:val="en-US" w:eastAsia="zh-CN"/>
        </w:rPr>
      </w:pPr>
    </w:p>
    <w:tbl>
      <w:tblPr>
        <w:tblStyle w:val="3"/>
        <w:tblW w:w="153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1"/>
        <w:gridCol w:w="2307"/>
        <w:gridCol w:w="3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15359" w:type="dxa"/>
            <w:gridSpan w:val="3"/>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6"/>
                <w:szCs w:val="36"/>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部门名称:辽宁省抚顺市传染病医院</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1、因公出国（境）费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2、公务接待费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3、公务用车购置及运行费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 （1）公务用车运行维护费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（2）公务用车购置费</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其中：预算数为年初预算数，决算数是包括当年一般公共预算财政拨款和以前年度结转资金安排的实际支出。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本表金额转换成万元时，因四舍五入可能存在尾差。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如本表为空，则我部门本年度无此类资金收支余。</w:t>
            </w:r>
          </w:p>
        </w:tc>
      </w:tr>
    </w:tbl>
    <w:p>
      <w:pPr>
        <w:bidi w:val="0"/>
        <w:ind w:firstLine="592" w:firstLineChars="0"/>
        <w:jc w:val="left"/>
        <w:rPr>
          <w:lang w:val="en-US" w:eastAsia="zh-CN"/>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tabs>
          <w:tab w:val="left" w:pos="1595"/>
        </w:tabs>
        <w:bidi w:val="0"/>
        <w:jc w:val="left"/>
        <w:rPr>
          <w:rFonts w:hint="eastAsia"/>
          <w:lang w:val="en-US" w:eastAsia="zh-CN"/>
        </w:rPr>
      </w:pPr>
      <w:r>
        <w:rPr>
          <w:rFonts w:hint="eastAsia"/>
          <w:lang w:val="en-US" w:eastAsia="zh-CN"/>
        </w:rPr>
        <w:tab/>
      </w:r>
    </w:p>
    <w:tbl>
      <w:tblPr>
        <w:tblStyle w:val="3"/>
        <w:tblW w:w="158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5"/>
        <w:gridCol w:w="384"/>
        <w:gridCol w:w="5644"/>
        <w:gridCol w:w="1423"/>
        <w:gridCol w:w="840"/>
        <w:gridCol w:w="840"/>
        <w:gridCol w:w="840"/>
        <w:gridCol w:w="840"/>
        <w:gridCol w:w="2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824" w:type="dxa"/>
            <w:gridSpan w:val="9"/>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5"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6028" w:type="dxa"/>
            <w:gridSpan w:val="2"/>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1423"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84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84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84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840" w:type="dxa"/>
            <w:tcBorders>
              <w:top w:val="nil"/>
              <w:left w:val="nil"/>
              <w:bottom w:val="nil"/>
              <w:right w:val="nil"/>
            </w:tcBorders>
            <w:shd w:val="clear" w:color="auto" w:fill="FFFFFF"/>
            <w:noWrap/>
            <w:vAlign w:val="center"/>
          </w:tcPr>
          <w:p>
            <w:pPr>
              <w:jc w:val="left"/>
              <w:rPr>
                <w:rFonts w:hint="default" w:ascii="Tahoma" w:hAnsi="Tahoma" w:eastAsia="Tahoma" w:cs="Tahoma"/>
                <w:i w:val="0"/>
                <w:iCs w:val="0"/>
                <w:color w:val="000000"/>
                <w:sz w:val="16"/>
                <w:szCs w:val="16"/>
                <w:u w:val="none"/>
              </w:rPr>
            </w:pPr>
          </w:p>
        </w:tc>
        <w:tc>
          <w:tcPr>
            <w:tcW w:w="2038"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9"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部门：辽宁省抚顺市传染病医院</w:t>
            </w:r>
          </w:p>
        </w:tc>
        <w:tc>
          <w:tcPr>
            <w:tcW w:w="564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423"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8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038"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03"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2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8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520"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0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9" w:type="dxa"/>
            <w:gridSpan w:val="2"/>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5644"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8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0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9" w:type="dxa"/>
            <w:gridSpan w:val="2"/>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64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9" w:type="dxa"/>
            <w:gridSpan w:val="2"/>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64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003"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003"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17,500.00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359"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229</w:t>
            </w:r>
          </w:p>
        </w:tc>
        <w:tc>
          <w:tcPr>
            <w:tcW w:w="56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其他支出</w:t>
            </w:r>
          </w:p>
        </w:tc>
        <w:tc>
          <w:tcPr>
            <w:tcW w:w="14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14,500.00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359"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22904</w:t>
            </w:r>
          </w:p>
        </w:tc>
        <w:tc>
          <w:tcPr>
            <w:tcW w:w="56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其他政府性基金及对应专项债务收入安排的支出</w:t>
            </w:r>
          </w:p>
        </w:tc>
        <w:tc>
          <w:tcPr>
            <w:tcW w:w="14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14,500.00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9"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2290402</w:t>
            </w:r>
          </w:p>
        </w:tc>
        <w:tc>
          <w:tcPr>
            <w:tcW w:w="5644"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其他地方自行试点项目收益专项债券收入安排的支出</w:t>
            </w:r>
          </w:p>
        </w:tc>
        <w:tc>
          <w:tcPr>
            <w:tcW w:w="14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3359"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234</w:t>
            </w:r>
          </w:p>
        </w:tc>
        <w:tc>
          <w:tcPr>
            <w:tcW w:w="56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抗疫特别国债安排的支出</w:t>
            </w:r>
          </w:p>
        </w:tc>
        <w:tc>
          <w:tcPr>
            <w:tcW w:w="14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3359"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23401</w:t>
            </w:r>
          </w:p>
        </w:tc>
        <w:tc>
          <w:tcPr>
            <w:tcW w:w="564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基础设施建设</w:t>
            </w:r>
          </w:p>
        </w:tc>
        <w:tc>
          <w:tcPr>
            <w:tcW w:w="14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59"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2340199</w:t>
            </w:r>
          </w:p>
        </w:tc>
        <w:tc>
          <w:tcPr>
            <w:tcW w:w="5644"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其他基础设施建设</w:t>
            </w:r>
          </w:p>
        </w:tc>
        <w:tc>
          <w:tcPr>
            <w:tcW w:w="14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24"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24"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本表金额转换成万元时，因四舍五入可能存在尾差。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24"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如本表为空，则我部门本年度无此类资金收支余。</w:t>
            </w:r>
          </w:p>
        </w:tc>
      </w:tr>
    </w:tbl>
    <w:p>
      <w:pPr>
        <w:tabs>
          <w:tab w:val="left" w:pos="1595"/>
        </w:tabs>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4151"/>
        </w:tabs>
        <w:bidi w:val="0"/>
        <w:jc w:val="left"/>
        <w:rPr>
          <w:rFonts w:hint="eastAsia"/>
          <w:lang w:val="en-US" w:eastAsia="zh-CN"/>
        </w:rPr>
      </w:pPr>
      <w:r>
        <w:rPr>
          <w:rFonts w:hint="eastAsia"/>
          <w:lang w:val="en-US" w:eastAsia="zh-CN"/>
        </w:rPr>
        <w:tab/>
      </w:r>
    </w:p>
    <w:p>
      <w:pPr>
        <w:tabs>
          <w:tab w:val="left" w:pos="4151"/>
        </w:tabs>
        <w:bidi w:val="0"/>
        <w:jc w:val="left"/>
        <w:rPr>
          <w:rFonts w:hint="eastAsia"/>
          <w:lang w:val="en-US" w:eastAsia="zh-CN"/>
        </w:rPr>
      </w:pPr>
    </w:p>
    <w:p>
      <w:pPr>
        <w:tabs>
          <w:tab w:val="left" w:pos="4151"/>
        </w:tabs>
        <w:bidi w:val="0"/>
        <w:jc w:val="left"/>
        <w:rPr>
          <w:rFonts w:hint="eastAsia"/>
          <w:lang w:val="en-US" w:eastAsia="zh-CN"/>
        </w:rPr>
      </w:pPr>
    </w:p>
    <w:tbl>
      <w:tblPr>
        <w:tblStyle w:val="3"/>
        <w:tblW w:w="15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5"/>
        <w:gridCol w:w="363"/>
        <w:gridCol w:w="363"/>
        <w:gridCol w:w="1794"/>
        <w:gridCol w:w="1949"/>
        <w:gridCol w:w="1949"/>
        <w:gridCol w:w="3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15600" w:type="dxa"/>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部门：辽宁省抚顺市传染病医院</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02"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72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4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4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2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94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4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01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2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94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4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01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本表金额转换成万元时，因四舍五入可能存在尾差。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如本表为空，则我部门本年度无此类资金收支余。</w:t>
            </w:r>
          </w:p>
        </w:tc>
      </w:tr>
    </w:tbl>
    <w:p>
      <w:pPr>
        <w:tabs>
          <w:tab w:val="left" w:pos="4151"/>
        </w:tabs>
        <w:bidi w:val="0"/>
        <w:jc w:val="left"/>
        <w:rPr>
          <w:rFonts w:hint="eastAsia"/>
          <w:lang w:val="en-US" w:eastAsia="zh-CN"/>
        </w:rPr>
      </w:pPr>
    </w:p>
    <w:sectPr>
      <w:pgSz w:w="16838" w:h="11906" w:orient="landscape"/>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96EBB"/>
    <w:multiLevelType w:val="singleLevel"/>
    <w:tmpl w:val="AB596EBB"/>
    <w:lvl w:ilvl="0" w:tentative="0">
      <w:start w:val="4"/>
      <w:numFmt w:val="chineseCounting"/>
      <w:suff w:val="space"/>
      <w:lvlText w:val="第%1部分"/>
      <w:lvlJc w:val="left"/>
      <w:rPr>
        <w:rFonts w:hint="eastAsia"/>
      </w:rPr>
    </w:lvl>
  </w:abstractNum>
  <w:abstractNum w:abstractNumId="1">
    <w:nsid w:val="D0D7E92D"/>
    <w:multiLevelType w:val="singleLevel"/>
    <w:tmpl w:val="D0D7E9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MmRlODViZjMzMTk5YWMzOTZkNTUwZmU1NmVmOWYifQ=="/>
  </w:docVars>
  <w:rsids>
    <w:rsidRoot w:val="47877A99"/>
    <w:rsid w:val="08ED6E6B"/>
    <w:rsid w:val="08FF4A6E"/>
    <w:rsid w:val="0FB03E59"/>
    <w:rsid w:val="0FB73D2F"/>
    <w:rsid w:val="0FFD3448"/>
    <w:rsid w:val="114E06C3"/>
    <w:rsid w:val="1F5A6485"/>
    <w:rsid w:val="329A6E6D"/>
    <w:rsid w:val="393D67A4"/>
    <w:rsid w:val="3C1A2DCC"/>
    <w:rsid w:val="3DC456E6"/>
    <w:rsid w:val="3EDB4A95"/>
    <w:rsid w:val="41847666"/>
    <w:rsid w:val="429C7AE1"/>
    <w:rsid w:val="44BA514C"/>
    <w:rsid w:val="472D7E58"/>
    <w:rsid w:val="47877A99"/>
    <w:rsid w:val="4A85345F"/>
    <w:rsid w:val="4CDB65A8"/>
    <w:rsid w:val="4E353A96"/>
    <w:rsid w:val="4FCE5F50"/>
    <w:rsid w:val="54F40207"/>
    <w:rsid w:val="58403763"/>
    <w:rsid w:val="58F61445"/>
    <w:rsid w:val="5DE80B25"/>
    <w:rsid w:val="6ABB7D84"/>
    <w:rsid w:val="70F353BF"/>
    <w:rsid w:val="74257F85"/>
    <w:rsid w:val="76F105F2"/>
    <w:rsid w:val="7782124A"/>
    <w:rsid w:val="79A951B4"/>
    <w:rsid w:val="7DE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5930</Words>
  <Characters>8804</Characters>
  <Lines>0</Lines>
  <Paragraphs>0</Paragraphs>
  <TotalTime>13</TotalTime>
  <ScaleCrop>false</ScaleCrop>
  <LinksUpToDate>false</LinksUpToDate>
  <CharactersWithSpaces>9138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2022-08-30T00:48:00Z</dcterms:created>
  <dc:creator>윤 혜 정 *^O^*</dc:creator>
  <cp:lastModifiedBy>윤 혜 정 *^O^*</cp:lastModifiedBy>
  <dcterms:modified xsi:type="dcterms:W3CDTF">2022-09-01T05:10:26Z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695235D3F256490C875AA92B1C661F31</vt:lpwstr>
  </property>
</Properties>
</file>